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Cambria" w:cs="Cambria" w:hAnsi="Cambria" w:eastAsia="Cambria"/>
          <w:b w:val="1"/>
          <w:bCs w:val="1"/>
          <w:rtl w:val="0"/>
          <w:lang w:val="en-US"/>
        </w:rPr>
        <w:t>Speakers</w:t>
      </w:r>
      <w:r>
        <w:rPr>
          <w:rtl w:val="0"/>
        </w:rPr>
        <w:t xml:space="preserve">: </w:t>
        <w:tab/>
      </w:r>
    </w:p>
    <w:p>
      <w:pPr>
        <w:pStyle w:val="Body"/>
      </w:pPr>
    </w:p>
    <w:p>
      <w:pPr>
        <w:pStyle w:val="Body"/>
        <w:rPr>
          <w:sz w:val="24"/>
          <w:szCs w:val="24"/>
        </w:rPr>
      </w:pPr>
      <w:r>
        <w:rPr>
          <w:rtl w:val="0"/>
          <w:lang w:val="es-ES_tradnl"/>
        </w:rPr>
        <w:t xml:space="preserve">Patricia Fae Ho, </w:t>
      </w:r>
      <w:r>
        <w:rPr>
          <w:sz w:val="24"/>
          <w:szCs w:val="24"/>
          <w:rtl w:val="0"/>
          <w:lang w:val="en-US"/>
        </w:rPr>
        <w:t>former President of</w:t>
      </w:r>
      <w:r>
        <w:rPr>
          <w:rtl w:val="0"/>
        </w:rPr>
        <w:t xml:space="preserve"> </w:t>
      </w:r>
      <w:r>
        <w:rPr>
          <w:sz w:val="24"/>
          <w:szCs w:val="24"/>
          <w:rtl w:val="0"/>
          <w:lang w:val="en-US"/>
        </w:rPr>
        <w:t xml:space="preserve">American Association of University Women (AAUW) </w:t>
      </w:r>
    </w:p>
    <w:p>
      <w:pPr>
        <w:pStyle w:val="Body"/>
        <w:rPr>
          <w:sz w:val="24"/>
          <w:szCs w:val="24"/>
        </w:rPr>
      </w:pPr>
      <w:r>
        <w:rPr>
          <w:rtl w:val="0"/>
        </w:rPr>
        <w:t xml:space="preserve">Sara Stanley, </w:t>
      </w:r>
      <w:r>
        <w:rPr>
          <w:sz w:val="24"/>
          <w:szCs w:val="24"/>
          <w:rtl w:val="0"/>
          <w:lang w:val="en-US"/>
        </w:rPr>
        <w:t xml:space="preserve">Healing Abuse Working for Change (HAWC) </w:t>
      </w:r>
    </w:p>
    <w:p>
      <w:pPr>
        <w:pStyle w:val="Body"/>
      </w:pPr>
    </w:p>
    <w:p>
      <w:pPr>
        <w:pStyle w:val="Body"/>
        <w:rPr>
          <w:rFonts w:ascii="Cambria" w:cs="Cambria" w:hAnsi="Cambria" w:eastAsia="Cambria"/>
          <w:b w:val="1"/>
          <w:bCs w:val="1"/>
        </w:rPr>
      </w:pPr>
      <w:r>
        <w:rPr>
          <w:rFonts w:ascii="Cambria" w:cs="Cambria" w:hAnsi="Cambria" w:eastAsia="Cambria"/>
          <w:b w:val="1"/>
          <w:bCs w:val="1"/>
          <w:rtl w:val="0"/>
          <w:lang w:val="en-US"/>
        </w:rPr>
        <w:t>Women</w:t>
      </w:r>
      <w:r>
        <w:rPr>
          <w:rFonts w:ascii="Cambria" w:cs="Cambria" w:hAnsi="Cambria" w:eastAsia="Cambria"/>
          <w:b w:val="1"/>
          <w:bCs w:val="1"/>
          <w:rtl w:val="0"/>
        </w:rPr>
        <w:t>’</w:t>
      </w:r>
      <w:r>
        <w:rPr>
          <w:rFonts w:ascii="Cambria" w:cs="Cambria" w:hAnsi="Cambria" w:eastAsia="Cambria"/>
          <w:b w:val="1"/>
          <w:bCs w:val="1"/>
          <w:rtl w:val="0"/>
          <w:lang w:val="en-US"/>
        </w:rPr>
        <w:t>s Rights Topics</w:t>
      </w:r>
    </w:p>
    <w:p>
      <w:pPr>
        <w:pStyle w:val="Body"/>
      </w:pPr>
    </w:p>
    <w:p>
      <w:pPr>
        <w:pStyle w:val="List Paragraph"/>
        <w:numPr>
          <w:ilvl w:val="0"/>
          <w:numId w:val="2"/>
        </w:numPr>
        <w:spacing w:after="120"/>
        <w:rPr>
          <w:lang w:val="en-US"/>
        </w:rPr>
      </w:pPr>
      <w:r>
        <w:rPr>
          <w:rtl w:val="0"/>
          <w:lang w:val="en-US"/>
        </w:rPr>
        <w:t>Wage inequality &amp; leadership underrepresentation</w:t>
      </w:r>
    </w:p>
    <w:p>
      <w:pPr>
        <w:pStyle w:val="List Paragraph"/>
        <w:numPr>
          <w:ilvl w:val="0"/>
          <w:numId w:val="2"/>
        </w:numPr>
        <w:spacing w:after="120"/>
        <w:rPr>
          <w:lang w:val="en-US"/>
        </w:rPr>
      </w:pPr>
      <w:r>
        <w:rPr>
          <w:rtl w:val="0"/>
          <w:lang w:val="en-US"/>
        </w:rPr>
        <w:t>Violence against women</w:t>
      </w:r>
    </w:p>
    <w:p>
      <w:pPr>
        <w:pStyle w:val="List Paragraph"/>
        <w:numPr>
          <w:ilvl w:val="0"/>
          <w:numId w:val="2"/>
        </w:numPr>
        <w:spacing w:after="120"/>
        <w:rPr>
          <w:lang w:val="en-US"/>
        </w:rPr>
      </w:pPr>
      <w:r>
        <w:rPr>
          <w:rtl w:val="0"/>
          <w:lang w:val="en-US"/>
        </w:rPr>
        <w:t>Healthcare rights</w:t>
      </w:r>
    </w:p>
    <w:p>
      <w:pPr>
        <w:pStyle w:val="Body"/>
        <w:jc w:val="both"/>
      </w:pPr>
    </w:p>
    <w:p>
      <w:pPr>
        <w:pStyle w:val="Body"/>
        <w:jc w:val="both"/>
        <w:rPr>
          <w:rFonts w:ascii="Cambria" w:cs="Cambria" w:hAnsi="Cambria" w:eastAsia="Cambria"/>
          <w:b w:val="1"/>
          <w:bCs w:val="1"/>
          <w:i w:val="1"/>
          <w:iCs w:val="1"/>
        </w:rPr>
      </w:pPr>
      <w:r>
        <w:rPr>
          <w:rFonts w:ascii="Cambria" w:cs="Cambria" w:hAnsi="Cambria" w:eastAsia="Cambria"/>
          <w:b w:val="1"/>
          <w:bCs w:val="1"/>
          <w:i w:val="1"/>
          <w:iCs w:val="1"/>
          <w:rtl w:val="0"/>
          <w:lang w:val="en-US"/>
        </w:rPr>
        <w:t xml:space="preserve">Calls to Action </w:t>
      </w:r>
    </w:p>
    <w:p>
      <w:pPr>
        <w:pStyle w:val="Body"/>
        <w:jc w:val="both"/>
      </w:pPr>
    </w:p>
    <w:p>
      <w:pPr>
        <w:pStyle w:val="List Paragraph"/>
        <w:numPr>
          <w:ilvl w:val="0"/>
          <w:numId w:val="4"/>
        </w:numPr>
        <w:spacing w:after="120"/>
        <w:jc w:val="both"/>
        <w:rPr>
          <w:lang w:val="en-US"/>
        </w:rPr>
      </w:pPr>
      <w:r>
        <w:rPr>
          <w:rtl w:val="0"/>
          <w:lang w:val="en-US"/>
        </w:rPr>
        <w:t xml:space="preserve">WOMEN SUPPORT WOMEN through teamwork, mentorship, advice and support. </w:t>
      </w:r>
    </w:p>
    <w:p>
      <w:pPr>
        <w:pStyle w:val="List Paragraph"/>
        <w:numPr>
          <w:ilvl w:val="0"/>
          <w:numId w:val="4"/>
        </w:numPr>
        <w:spacing w:after="120"/>
        <w:jc w:val="both"/>
        <w:rPr>
          <w:lang w:val="en-US"/>
        </w:rPr>
      </w:pPr>
      <w:r>
        <w:rPr>
          <w:rtl w:val="0"/>
          <w:lang w:val="en-US"/>
        </w:rPr>
        <w:t>Until July 31, public comments are invited on Title X restrictions. It</w:t>
      </w:r>
      <w:r>
        <w:rPr>
          <w:rtl w:val="0"/>
          <w:lang w:val="en-US"/>
        </w:rPr>
        <w:t>’</w:t>
      </w:r>
      <w:r>
        <w:rPr>
          <w:rtl w:val="0"/>
          <w:lang w:val="en-US"/>
        </w:rPr>
        <w:t>s easier to do it with a prewritten statement. Here</w:t>
      </w:r>
      <w:r>
        <w:rPr>
          <w:rtl w:val="0"/>
          <w:lang w:val="en-US"/>
        </w:rPr>
        <w:t>’</w:t>
      </w:r>
      <w:r>
        <w:rPr>
          <w:rtl w:val="0"/>
          <w:lang w:val="en-US"/>
        </w:rPr>
        <w:t xml:space="preserve">s one from Planned Parenthood. </w:t>
      </w:r>
      <w:r>
        <w:rPr>
          <w:rStyle w:val="Hyperlink.0"/>
        </w:rPr>
        <w:fldChar w:fldCharType="begin" w:fldLock="0"/>
      </w:r>
      <w:r>
        <w:rPr>
          <w:rStyle w:val="Hyperlink.0"/>
        </w:rPr>
        <w:instrText xml:space="preserve"> HYPERLINK "https://www.weareplannedparenthood.org/onlineactions/vMKua_u_9kqlSH5IvcDEaw2"</w:instrText>
      </w:r>
      <w:r>
        <w:rPr>
          <w:rStyle w:val="Hyperlink.0"/>
        </w:rPr>
        <w:fldChar w:fldCharType="separate" w:fldLock="0"/>
      </w:r>
      <w:r>
        <w:rPr>
          <w:rStyle w:val="Hyperlink.0"/>
          <w:rtl w:val="0"/>
          <w:lang w:val="en-US"/>
        </w:rPr>
        <w:t>https://www.weareplannedparenthood.org/onlineactions/vMKua_u_9kqlSH5IvcDEaw2</w:t>
      </w:r>
      <w:r>
        <w:rPr/>
        <w:fldChar w:fldCharType="end" w:fldLock="0"/>
      </w:r>
      <w:r>
        <w:rPr>
          <w:rtl w:val="0"/>
          <w:lang w:val="en-US"/>
        </w:rPr>
        <w:t xml:space="preserve"> </w:t>
      </w:r>
    </w:p>
    <w:p>
      <w:pPr>
        <w:pStyle w:val="List Paragraph"/>
        <w:numPr>
          <w:ilvl w:val="0"/>
          <w:numId w:val="4"/>
        </w:numPr>
        <w:spacing w:after="120"/>
        <w:jc w:val="both"/>
      </w:pPr>
      <w:r>
        <w:rPr>
          <w:rStyle w:val="Hyperlink.0"/>
        </w:rPr>
        <w:fldChar w:fldCharType="begin" w:fldLock="0"/>
      </w:r>
      <w:r>
        <w:rPr>
          <w:rStyle w:val="Hyperlink.0"/>
        </w:rPr>
        <w:instrText xml:space="preserve"> HYPERLINK "https://www.shegeeksout.com/"</w:instrText>
      </w:r>
      <w:r>
        <w:rPr>
          <w:rStyle w:val="Hyperlink.0"/>
        </w:rPr>
        <w:fldChar w:fldCharType="separate" w:fldLock="0"/>
      </w:r>
      <w:r>
        <w:rPr>
          <w:rStyle w:val="Hyperlink.0"/>
          <w:rtl w:val="0"/>
          <w:lang w:val="en-US"/>
        </w:rPr>
        <w:t>She Geeks Out</w:t>
      </w:r>
      <w:r>
        <w:rPr/>
        <w:fldChar w:fldCharType="end" w:fldLock="0"/>
      </w:r>
      <w:r>
        <w:rPr>
          <w:rtl w:val="0"/>
          <w:lang w:val="en-US"/>
        </w:rPr>
        <w:t xml:space="preserve">, </w:t>
      </w:r>
      <w:r>
        <w:rPr>
          <w:rStyle w:val="Hyperlink.0"/>
        </w:rPr>
        <w:fldChar w:fldCharType="begin" w:fldLock="0"/>
      </w:r>
      <w:r>
        <w:rPr>
          <w:rStyle w:val="Hyperlink.0"/>
        </w:rPr>
        <w:instrText xml:space="preserve"> HYPERLINK "https://www.boston.gov/departments/womens-advancement/aauw-work-smart-boston"</w:instrText>
      </w:r>
      <w:r>
        <w:rPr>
          <w:rStyle w:val="Hyperlink.0"/>
        </w:rPr>
        <w:fldChar w:fldCharType="separate" w:fldLock="0"/>
      </w:r>
      <w:r>
        <w:rPr>
          <w:rStyle w:val="Hyperlink.0"/>
          <w:rtl w:val="0"/>
          <w:lang w:val="en-US"/>
        </w:rPr>
        <w:t>Worksmart</w:t>
      </w:r>
      <w:r>
        <w:rPr/>
        <w:fldChar w:fldCharType="end" w:fldLock="0"/>
      </w:r>
      <w:r>
        <w:rPr>
          <w:rtl w:val="0"/>
          <w:lang w:val="en-US"/>
        </w:rPr>
        <w:t xml:space="preserve"> and </w:t>
      </w:r>
      <w:r>
        <w:rPr>
          <w:rStyle w:val="Hyperlink.0"/>
        </w:rPr>
        <w:fldChar w:fldCharType="begin" w:fldLock="0"/>
      </w:r>
      <w:r>
        <w:rPr>
          <w:rStyle w:val="Hyperlink.0"/>
        </w:rPr>
        <w:instrText xml:space="preserve"> HYPERLINK "https://salary.aauw.org/start-smart/"</w:instrText>
      </w:r>
      <w:r>
        <w:rPr>
          <w:rStyle w:val="Hyperlink.0"/>
        </w:rPr>
        <w:fldChar w:fldCharType="separate" w:fldLock="0"/>
      </w:r>
      <w:r>
        <w:rPr>
          <w:rStyle w:val="Hyperlink.0"/>
          <w:rtl w:val="0"/>
          <w:lang w:val="en-US"/>
        </w:rPr>
        <w:t>Startsmart</w:t>
      </w:r>
      <w:r>
        <w:rPr/>
        <w:fldChar w:fldCharType="end" w:fldLock="0"/>
      </w:r>
      <w:r>
        <w:rPr>
          <w:rtl w:val="0"/>
          <w:lang w:val="en-US"/>
        </w:rPr>
        <w:t xml:space="preserve"> are initiatives helping women with job access, training and salary negotiation. </w:t>
      </w:r>
    </w:p>
    <w:p>
      <w:pPr>
        <w:pStyle w:val="List Paragraph"/>
        <w:numPr>
          <w:ilvl w:val="0"/>
          <w:numId w:val="4"/>
        </w:numPr>
        <w:spacing w:after="120"/>
        <w:jc w:val="both"/>
        <w:rPr>
          <w:lang w:val="en-US"/>
        </w:rPr>
      </w:pPr>
      <w:r>
        <w:rPr>
          <w:rtl w:val="0"/>
          <w:lang w:val="en-US"/>
        </w:rPr>
        <w:t xml:space="preserve">Health and Human Services </w:t>
      </w:r>
      <w:r>
        <w:rPr>
          <w:rtl w:val="0"/>
          <w:lang w:val="en-US"/>
        </w:rPr>
        <w:t xml:space="preserve">– </w:t>
      </w:r>
      <w:r>
        <w:rPr>
          <w:rtl w:val="0"/>
          <w:lang w:val="en-US"/>
        </w:rPr>
        <w:t>comment section is open until July 31</w:t>
      </w:r>
      <w:r>
        <w:rPr>
          <w:vertAlign w:val="superscript"/>
          <w:rtl w:val="0"/>
          <w:lang w:val="en-US"/>
        </w:rPr>
        <w:t>st</w:t>
      </w:r>
      <w:r>
        <w:rPr>
          <w:rtl w:val="0"/>
          <w:lang w:val="en-US"/>
        </w:rPr>
        <w:t xml:space="preserve">. </w:t>
      </w:r>
    </w:p>
    <w:p>
      <w:pPr>
        <w:pStyle w:val="List Paragraph"/>
        <w:numPr>
          <w:ilvl w:val="0"/>
          <w:numId w:val="4"/>
        </w:numPr>
        <w:spacing w:after="120"/>
        <w:jc w:val="both"/>
        <w:rPr>
          <w:lang w:val="en-US"/>
        </w:rPr>
      </w:pPr>
      <w:r>
        <w:rPr>
          <w:rtl w:val="0"/>
          <w:lang w:val="en-US"/>
        </w:rPr>
        <w:t xml:space="preserve">US legislation </w:t>
      </w:r>
      <w:r>
        <w:rPr>
          <w:rtl w:val="0"/>
          <w:lang w:val="en-US"/>
        </w:rPr>
        <w:t xml:space="preserve">– </w:t>
      </w:r>
      <w:r>
        <w:rPr>
          <w:rFonts w:ascii="Cambria" w:cs="Cambria" w:hAnsi="Cambria" w:eastAsia="Cambria"/>
          <w:i w:val="1"/>
          <w:iCs w:val="1"/>
          <w:rtl w:val="0"/>
          <w:lang w:val="en-US"/>
        </w:rPr>
        <w:t>Paycheck Fairness Act</w:t>
      </w:r>
      <w:r>
        <w:rPr>
          <w:rtl w:val="0"/>
          <w:lang w:val="en-US"/>
        </w:rPr>
        <w:t xml:space="preserve"> is stuck in committee. Referred to house Committee of Education and Workforce on April 2017. Call you senator and congressman to get this act out of committee and onto the floor. </w:t>
      </w:r>
    </w:p>
    <w:p>
      <w:pPr>
        <w:pStyle w:val="Body"/>
        <w:rPr>
          <w:u w:val="single"/>
        </w:rPr>
      </w:pPr>
    </w:p>
    <w:p>
      <w:pPr>
        <w:pStyle w:val="Body"/>
        <w:rPr>
          <w:rFonts w:ascii="Cambria" w:cs="Cambria" w:hAnsi="Cambria" w:eastAsia="Cambria"/>
          <w:b w:val="1"/>
          <w:bCs w:val="1"/>
          <w:i w:val="1"/>
          <w:iCs w:val="1"/>
        </w:rPr>
      </w:pPr>
      <w:r>
        <w:rPr>
          <w:rFonts w:ascii="Cambria" w:cs="Cambria" w:hAnsi="Cambria" w:eastAsia="Cambria"/>
          <w:b w:val="1"/>
          <w:bCs w:val="1"/>
          <w:i w:val="1"/>
          <w:iCs w:val="1"/>
          <w:rtl w:val="0"/>
          <w:lang w:val="en-US"/>
        </w:rPr>
        <w:t>Wage Inequality &amp; Leadership</w:t>
      </w:r>
    </w:p>
    <w:p>
      <w:pPr>
        <w:pStyle w:val="Body"/>
        <w:rPr>
          <w:u w:val="single"/>
        </w:rPr>
      </w:pPr>
    </w:p>
    <w:p>
      <w:pPr>
        <w:pStyle w:val="Body"/>
        <w:jc w:val="both"/>
      </w:pPr>
      <w:r>
        <w:rPr>
          <w:rtl w:val="0"/>
          <w:lang w:val="pt-PT"/>
        </w:rPr>
        <w:t xml:space="preserve">A </w:t>
      </w:r>
      <w:r>
        <w:rPr>
          <w:rtl w:val="0"/>
        </w:rPr>
        <w:t>‘</w:t>
      </w:r>
      <w:r>
        <w:rPr>
          <w:rtl w:val="0"/>
          <w:lang w:val="en-US"/>
        </w:rPr>
        <w:t>living wage</w:t>
      </w:r>
      <w:r>
        <w:rPr>
          <w:rtl w:val="0"/>
        </w:rPr>
        <w:t xml:space="preserve">’ </w:t>
      </w:r>
      <w:r>
        <w:rPr>
          <w:rtl w:val="0"/>
          <w:lang w:val="en-US"/>
        </w:rPr>
        <w:t xml:space="preserve">involves more than paycheck. It involves affordable healthcare, access to housing, education, jobs &amp; training, debt relief, retirement security as well as equal pay. </w:t>
      </w:r>
    </w:p>
    <w:p>
      <w:pPr>
        <w:pStyle w:val="Body"/>
        <w:jc w:val="both"/>
      </w:pPr>
    </w:p>
    <w:p>
      <w:pPr>
        <w:pStyle w:val="Body"/>
        <w:jc w:val="both"/>
        <w:rPr>
          <w:rFonts w:ascii="Cambria" w:cs="Cambria" w:hAnsi="Cambria" w:eastAsia="Cambria"/>
          <w:i w:val="1"/>
          <w:iCs w:val="1"/>
        </w:rPr>
      </w:pPr>
      <w:r>
        <w:rPr>
          <w:rFonts w:ascii="Cambria" w:cs="Cambria" w:hAnsi="Cambria" w:eastAsia="Cambria"/>
          <w:i w:val="1"/>
          <w:iCs w:val="1"/>
          <w:rtl w:val="0"/>
          <w:lang w:val="en-US"/>
        </w:rPr>
        <w:t xml:space="preserve">Locally: </w:t>
      </w:r>
    </w:p>
    <w:p>
      <w:pPr>
        <w:pStyle w:val="Body"/>
        <w:jc w:val="both"/>
      </w:pPr>
      <w:r>
        <w:rPr>
          <w:rtl w:val="0"/>
          <w:lang w:val="en-US"/>
        </w:rPr>
        <w:t xml:space="preserve">In 2016, the poverty line was $20k/year and 57% of women living in Essex County are below the poverty line. The actual cost of living in this area is $64k/year equating to a wage of $31/hour. The minimum wage in MA is currently $11/hour, increasing to $15/hour over the next 5 years. </w:t>
      </w:r>
    </w:p>
    <w:p>
      <w:pPr>
        <w:pStyle w:val="Body"/>
        <w:jc w:val="both"/>
      </w:pPr>
    </w:p>
    <w:p>
      <w:pPr>
        <w:pStyle w:val="Body"/>
        <w:jc w:val="both"/>
      </w:pPr>
      <w:r>
        <w:rPr>
          <w:rtl w:val="0"/>
          <w:lang w:val="en-US"/>
        </w:rPr>
        <w:t xml:space="preserve">The wage gap in this area is evident. </w:t>
      </w:r>
    </w:p>
    <w:p>
      <w:pPr>
        <w:pStyle w:val="Body"/>
        <w:jc w:val="both"/>
      </w:pPr>
    </w:p>
    <w:p>
      <w:pPr>
        <w:pStyle w:val="Body"/>
        <w:jc w:val="both"/>
        <w:rPr>
          <w:rFonts w:ascii="Cambria" w:cs="Cambria" w:hAnsi="Cambria" w:eastAsia="Cambria"/>
          <w:i w:val="1"/>
          <w:iCs w:val="1"/>
        </w:rPr>
      </w:pPr>
      <w:r>
        <w:rPr>
          <w:rFonts w:ascii="Cambria" w:cs="Cambria" w:hAnsi="Cambria" w:eastAsia="Cambria"/>
          <w:i w:val="1"/>
          <w:iCs w:val="1"/>
          <w:rtl w:val="0"/>
          <w:lang w:val="en-US"/>
        </w:rPr>
        <w:t>Nationally:</w:t>
      </w:r>
    </w:p>
    <w:p>
      <w:pPr>
        <w:pStyle w:val="Body"/>
        <w:jc w:val="both"/>
      </w:pPr>
      <w:r>
        <w:rPr>
          <w:rtl w:val="0"/>
          <w:lang w:val="en-US"/>
        </w:rPr>
        <w:t>The national median income for women is $44k/year with black women earning $37k/year and Latinas earning $30k/year. It averages to an 80% wage gap with Equal Pay Day occurring on April 10</w:t>
      </w:r>
      <w:r>
        <w:rPr>
          <w:vertAlign w:val="superscript"/>
          <w:rtl w:val="0"/>
          <w:lang w:val="en-US"/>
        </w:rPr>
        <w:t>th</w:t>
      </w:r>
      <w:r>
        <w:rPr>
          <w:rtl w:val="0"/>
          <w:lang w:val="en-US"/>
        </w:rPr>
        <w:t xml:space="preserve"> illustrating the 3+ additional months women have to work to equal the wages earned by their male counterparts. </w:t>
      </w:r>
    </w:p>
    <w:p>
      <w:pPr>
        <w:pStyle w:val="Body"/>
        <w:jc w:val="both"/>
      </w:pPr>
    </w:p>
    <w:p>
      <w:pPr>
        <w:pStyle w:val="Body"/>
        <w:jc w:val="both"/>
      </w:pPr>
      <w:r>
        <w:rPr>
          <w:rtl w:val="0"/>
          <w:lang w:val="en-US"/>
        </w:rPr>
        <w:t xml:space="preserve">The racial breakdown of the pay gap is as follows: </w:t>
      </w:r>
    </w:p>
    <w:p>
      <w:pPr>
        <w:pStyle w:val="Body"/>
        <w:jc w:val="both"/>
      </w:pPr>
    </w:p>
    <w:p>
      <w:pPr>
        <w:pStyle w:val="List Paragraph"/>
        <w:numPr>
          <w:ilvl w:val="0"/>
          <w:numId w:val="6"/>
        </w:numPr>
        <w:jc w:val="both"/>
        <w:rPr>
          <w:lang w:val="en-US"/>
        </w:rPr>
      </w:pPr>
      <w:r>
        <w:rPr>
          <w:rtl w:val="0"/>
          <w:lang w:val="en-US"/>
        </w:rPr>
        <w:t>Asian 87%</w:t>
      </w:r>
    </w:p>
    <w:p>
      <w:pPr>
        <w:pStyle w:val="List Paragraph"/>
        <w:numPr>
          <w:ilvl w:val="0"/>
          <w:numId w:val="6"/>
        </w:numPr>
        <w:jc w:val="both"/>
        <w:rPr>
          <w:lang w:val="en-US"/>
        </w:rPr>
      </w:pPr>
      <w:r>
        <w:rPr>
          <w:rtl w:val="0"/>
          <w:lang w:val="en-US"/>
        </w:rPr>
        <w:t>White 79%</w:t>
      </w:r>
    </w:p>
    <w:p>
      <w:pPr>
        <w:pStyle w:val="List Paragraph"/>
        <w:numPr>
          <w:ilvl w:val="0"/>
          <w:numId w:val="6"/>
        </w:numPr>
        <w:jc w:val="both"/>
        <w:rPr>
          <w:lang w:val="en-US"/>
        </w:rPr>
      </w:pPr>
      <w:r>
        <w:rPr>
          <w:rtl w:val="0"/>
          <w:lang w:val="en-US"/>
        </w:rPr>
        <w:t>Black 63%</w:t>
      </w:r>
    </w:p>
    <w:p>
      <w:pPr>
        <w:pStyle w:val="List Paragraph"/>
        <w:numPr>
          <w:ilvl w:val="0"/>
          <w:numId w:val="6"/>
        </w:numPr>
        <w:jc w:val="both"/>
        <w:rPr>
          <w:lang w:val="en-US"/>
        </w:rPr>
      </w:pPr>
      <w:r>
        <w:rPr>
          <w:rtl w:val="0"/>
          <w:lang w:val="en-US"/>
        </w:rPr>
        <w:t>Latin 54%</w:t>
      </w:r>
    </w:p>
    <w:p>
      <w:pPr>
        <w:pStyle w:val="Body"/>
        <w:jc w:val="both"/>
      </w:pPr>
    </w:p>
    <w:p>
      <w:pPr>
        <w:pStyle w:val="Body"/>
        <w:jc w:val="both"/>
      </w:pPr>
      <w:r>
        <w:rPr>
          <w:rtl w:val="0"/>
          <w:lang w:val="en-US"/>
        </w:rPr>
        <w:t xml:space="preserve">When an industry becomes primarily an industry run by women, the overall pay scale decreases as seen in the teaching, healthcare and veterinary professions. </w:t>
      </w:r>
    </w:p>
    <w:p>
      <w:pPr>
        <w:pStyle w:val="Body"/>
        <w:jc w:val="both"/>
      </w:pPr>
    </w:p>
    <w:p>
      <w:pPr>
        <w:pStyle w:val="Body"/>
        <w:jc w:val="both"/>
      </w:pPr>
      <w:r>
        <w:rPr>
          <w:rtl w:val="0"/>
          <w:lang w:val="en-US"/>
        </w:rPr>
        <w:t>Cultural expectations or bias contribute to the problem. There</w:t>
      </w:r>
      <w:r>
        <w:rPr>
          <w:rtl w:val="0"/>
        </w:rPr>
        <w:t>’</w:t>
      </w:r>
      <w:r>
        <w:rPr>
          <w:rtl w:val="0"/>
          <w:lang w:val="en-US"/>
        </w:rPr>
        <w:t xml:space="preserve">s a documented motherhood penalty where a mother will earn 13 </w:t>
      </w:r>
      <w:r>
        <w:rPr>
          <w:rtl w:val="0"/>
        </w:rPr>
        <w:t xml:space="preserve">– </w:t>
      </w:r>
      <w:r>
        <w:rPr>
          <w:rtl w:val="0"/>
          <w:lang w:val="en-US"/>
        </w:rPr>
        <w:t>18% less than her single women counterpart and there</w:t>
      </w:r>
      <w:r>
        <w:rPr>
          <w:rtl w:val="0"/>
        </w:rPr>
        <w:t>’</w:t>
      </w:r>
      <w:r>
        <w:rPr>
          <w:rtl w:val="0"/>
          <w:lang w:val="en-US"/>
        </w:rPr>
        <w:t xml:space="preserve">s a 4% decrease for each additional child. </w:t>
      </w:r>
    </w:p>
    <w:p>
      <w:pPr>
        <w:pStyle w:val="Body"/>
        <w:jc w:val="both"/>
      </w:pPr>
    </w:p>
    <w:p>
      <w:pPr>
        <w:pStyle w:val="Body"/>
        <w:jc w:val="both"/>
      </w:pPr>
      <w:r>
        <w:rPr>
          <w:rtl w:val="0"/>
          <w:lang w:val="en-US"/>
        </w:rPr>
        <w:t xml:space="preserve">The ceiling in corporate America is middle management with only 23% female CEOs. </w:t>
      </w:r>
    </w:p>
    <w:p>
      <w:pPr>
        <w:pStyle w:val="Body"/>
        <w:jc w:val="both"/>
      </w:pPr>
    </w:p>
    <w:p>
      <w:pPr>
        <w:pStyle w:val="Body"/>
        <w:jc w:val="both"/>
      </w:pPr>
      <w:r>
        <w:rPr>
          <w:rFonts w:ascii="Cambria" w:cs="Cambria" w:hAnsi="Cambria" w:eastAsia="Cambria"/>
          <w:b w:val="1"/>
          <w:bCs w:val="1"/>
          <w:i w:val="1"/>
          <w:iCs w:val="1"/>
          <w:rtl w:val="0"/>
          <w:lang w:val="en-US"/>
        </w:rPr>
        <w:t>She Geeks Out</w:t>
      </w:r>
      <w:r>
        <w:rPr>
          <w:rtl w:val="0"/>
          <w:lang w:val="en-US"/>
        </w:rPr>
        <w:t xml:space="preserve"> and </w:t>
      </w:r>
      <w:r>
        <w:rPr>
          <w:rFonts w:ascii="Cambria" w:cs="Cambria" w:hAnsi="Cambria" w:eastAsia="Cambria"/>
          <w:b w:val="1"/>
          <w:bCs w:val="1"/>
          <w:i w:val="1"/>
          <w:iCs w:val="1"/>
          <w:rtl w:val="0"/>
          <w:lang w:val="da-DK"/>
        </w:rPr>
        <w:t>Worksmart</w:t>
      </w:r>
      <w:r>
        <w:rPr>
          <w:rtl w:val="0"/>
          <w:lang w:val="en-US"/>
        </w:rPr>
        <w:t xml:space="preserve"> are both organizations helping women with job access, training and salary negotiation. For recent graduates, there</w:t>
      </w:r>
      <w:r>
        <w:rPr>
          <w:rtl w:val="0"/>
        </w:rPr>
        <w:t>’</w:t>
      </w:r>
      <w:r>
        <w:rPr>
          <w:rtl w:val="0"/>
          <w:lang w:val="en-US"/>
        </w:rPr>
        <w:t xml:space="preserve">s Startsmart we well. </w:t>
      </w:r>
    </w:p>
    <w:p>
      <w:pPr>
        <w:pStyle w:val="Body"/>
        <w:jc w:val="both"/>
      </w:pPr>
    </w:p>
    <w:p>
      <w:pPr>
        <w:pStyle w:val="Body"/>
        <w:jc w:val="both"/>
        <w:rPr>
          <w:u w:val="single"/>
        </w:rPr>
      </w:pPr>
      <w:r>
        <w:rPr>
          <w:u w:val="single"/>
          <w:rtl w:val="0"/>
          <w:lang w:val="en-US"/>
        </w:rPr>
        <w:t>Industry Leadership</w:t>
      </w:r>
    </w:p>
    <w:p>
      <w:pPr>
        <w:pStyle w:val="Body"/>
        <w:jc w:val="both"/>
        <w:rPr>
          <w:u w:val="single"/>
        </w:rPr>
      </w:pPr>
    </w:p>
    <w:p>
      <w:pPr>
        <w:pStyle w:val="List Paragraph"/>
        <w:numPr>
          <w:ilvl w:val="0"/>
          <w:numId w:val="8"/>
        </w:numPr>
        <w:spacing w:after="120"/>
        <w:jc w:val="both"/>
        <w:rPr>
          <w:lang w:val="en-US"/>
        </w:rPr>
      </w:pPr>
      <w:r>
        <w:rPr>
          <w:rtl w:val="0"/>
          <w:lang w:val="en-US"/>
        </w:rPr>
        <w:t xml:space="preserve">70% of public educators are women, however only 20% of the superintendents are female. </w:t>
      </w:r>
    </w:p>
    <w:p>
      <w:pPr>
        <w:pStyle w:val="List Paragraph"/>
        <w:numPr>
          <w:ilvl w:val="0"/>
          <w:numId w:val="8"/>
        </w:numPr>
        <w:spacing w:after="120"/>
        <w:jc w:val="both"/>
        <w:rPr>
          <w:lang w:val="en-US"/>
        </w:rPr>
      </w:pPr>
      <w:r>
        <w:rPr>
          <w:rtl w:val="0"/>
          <w:lang w:val="en-US"/>
        </w:rPr>
        <w:t>45% of non-profit workers are women, while only 5% of its CEO</w:t>
      </w:r>
      <w:r>
        <w:rPr>
          <w:rtl w:val="0"/>
          <w:lang w:val="en-US"/>
        </w:rPr>
        <w:t>’</w:t>
      </w:r>
      <w:r>
        <w:rPr>
          <w:rtl w:val="0"/>
          <w:lang w:val="en-US"/>
        </w:rPr>
        <w:t xml:space="preserve">s are female. </w:t>
      </w:r>
    </w:p>
    <w:p>
      <w:pPr>
        <w:pStyle w:val="List Paragraph"/>
        <w:numPr>
          <w:ilvl w:val="0"/>
          <w:numId w:val="8"/>
        </w:numPr>
        <w:spacing w:after="120"/>
        <w:jc w:val="both"/>
        <w:rPr>
          <w:lang w:val="en-US"/>
        </w:rPr>
      </w:pPr>
      <w:r>
        <w:rPr>
          <w:rtl w:val="0"/>
          <w:lang w:val="en-US"/>
        </w:rPr>
        <w:t xml:space="preserve">There are 19% women in Congress and 25% in state legislation. </w:t>
      </w:r>
    </w:p>
    <w:p>
      <w:pPr>
        <w:pStyle w:val="List Paragraph"/>
        <w:numPr>
          <w:ilvl w:val="0"/>
          <w:numId w:val="8"/>
        </w:numPr>
        <w:spacing w:after="120"/>
        <w:jc w:val="both"/>
        <w:rPr>
          <w:lang w:val="en-US"/>
        </w:rPr>
      </w:pPr>
      <w:r>
        <w:rPr>
          <w:rtl w:val="0"/>
          <w:lang w:val="en-US"/>
        </w:rPr>
        <w:t xml:space="preserve">Only 6% of state governors are women. </w:t>
      </w:r>
    </w:p>
    <w:p>
      <w:pPr>
        <w:pStyle w:val="Body"/>
        <w:spacing w:after="120"/>
        <w:jc w:val="both"/>
      </w:pPr>
      <w:r>
        <w:rPr>
          <w:rtl w:val="0"/>
          <w:lang w:val="en-US"/>
        </w:rPr>
        <w:t xml:space="preserve">When women lead, profits go up, voting increases, positive policies improve and collaborative decisions reign. </w:t>
      </w:r>
    </w:p>
    <w:p>
      <w:pPr>
        <w:pStyle w:val="Body"/>
        <w:jc w:val="both"/>
      </w:pPr>
    </w:p>
    <w:p>
      <w:pPr>
        <w:pStyle w:val="Body"/>
        <w:jc w:val="both"/>
        <w:rPr>
          <w:rFonts w:ascii="Cambria" w:cs="Cambria" w:hAnsi="Cambria" w:eastAsia="Cambria"/>
          <w:b w:val="1"/>
          <w:bCs w:val="1"/>
          <w:i w:val="1"/>
          <w:iCs w:val="1"/>
        </w:rPr>
      </w:pPr>
      <w:r>
        <w:rPr>
          <w:rFonts w:ascii="Cambria" w:cs="Cambria" w:hAnsi="Cambria" w:eastAsia="Cambria"/>
          <w:b w:val="1"/>
          <w:bCs w:val="1"/>
          <w:i w:val="1"/>
          <w:iCs w:val="1"/>
          <w:rtl w:val="0"/>
          <w:lang w:val="en-US"/>
        </w:rPr>
        <w:t>Violence Against Women</w:t>
      </w:r>
    </w:p>
    <w:p>
      <w:pPr>
        <w:pStyle w:val="Body"/>
        <w:jc w:val="both"/>
      </w:pPr>
    </w:p>
    <w:p>
      <w:pPr>
        <w:pStyle w:val="Body"/>
        <w:jc w:val="both"/>
      </w:pPr>
      <w:r>
        <w:rPr>
          <w:rtl w:val="0"/>
          <w:lang w:val="en-US"/>
        </w:rPr>
        <w:t xml:space="preserve">Violence against women includes sexual assault, sexual violence, rape and domestic violence. It can be emotional, financial, physical, cultural and religious. </w:t>
      </w:r>
    </w:p>
    <w:p>
      <w:pPr>
        <w:pStyle w:val="Body"/>
        <w:jc w:val="both"/>
      </w:pPr>
    </w:p>
    <w:p>
      <w:pPr>
        <w:pStyle w:val="Body"/>
        <w:jc w:val="both"/>
      </w:pPr>
      <w:r>
        <w:rPr>
          <w:rtl w:val="0"/>
          <w:lang w:val="en-US"/>
        </w:rPr>
        <w:t>The underlying foundation is that women are valued less than men. There</w:t>
      </w:r>
      <w:r>
        <w:rPr>
          <w:rtl w:val="0"/>
        </w:rPr>
        <w:t>’</w:t>
      </w:r>
      <w:r>
        <w:rPr>
          <w:rtl w:val="0"/>
          <w:lang w:val="en-US"/>
        </w:rPr>
        <w:t xml:space="preserve">s contempt and prejudice against women. </w:t>
      </w:r>
    </w:p>
    <w:p>
      <w:pPr>
        <w:pStyle w:val="Body"/>
        <w:jc w:val="both"/>
      </w:pPr>
    </w:p>
    <w:p>
      <w:pPr>
        <w:pStyle w:val="Body"/>
        <w:jc w:val="both"/>
        <w:rPr>
          <w:u w:val="single"/>
        </w:rPr>
      </w:pPr>
      <w:r>
        <w:rPr>
          <w:u w:val="single"/>
          <w:rtl w:val="0"/>
          <w:lang w:val="en-US"/>
        </w:rPr>
        <w:t>Statistics</w:t>
      </w:r>
    </w:p>
    <w:p>
      <w:pPr>
        <w:pStyle w:val="Body"/>
        <w:jc w:val="both"/>
      </w:pPr>
    </w:p>
    <w:p>
      <w:pPr>
        <w:pStyle w:val="Body"/>
        <w:jc w:val="both"/>
      </w:pPr>
      <w:r>
        <w:rPr>
          <w:rtl w:val="0"/>
          <w:lang w:val="en-US"/>
        </w:rPr>
        <w:t>The scope- in the US, 1 in 4 women will experience intimate violence. In Massachusetts, it</w:t>
      </w:r>
      <w:r>
        <w:rPr>
          <w:rtl w:val="0"/>
        </w:rPr>
        <w:t>’</w:t>
      </w:r>
      <w:r>
        <w:rPr>
          <w:rtl w:val="0"/>
          <w:lang w:val="it-IT"/>
        </w:rPr>
        <w:t xml:space="preserve">s 1 in 3. </w:t>
      </w:r>
    </w:p>
    <w:p>
      <w:pPr>
        <w:pStyle w:val="Body"/>
        <w:jc w:val="both"/>
      </w:pPr>
    </w:p>
    <w:p>
      <w:pPr>
        <w:pStyle w:val="Body"/>
        <w:jc w:val="both"/>
      </w:pPr>
      <w:r>
        <w:rPr>
          <w:rtl w:val="0"/>
          <w:lang w:val="en-US"/>
        </w:rPr>
        <w:t>For black women, it</w:t>
      </w:r>
      <w:r>
        <w:rPr>
          <w:rtl w:val="0"/>
        </w:rPr>
        <w:t>’</w:t>
      </w:r>
      <w:r>
        <w:rPr>
          <w:rtl w:val="0"/>
          <w:lang w:val="en-US"/>
        </w:rPr>
        <w:t>s worse. It</w:t>
      </w:r>
      <w:r>
        <w:rPr>
          <w:rtl w:val="0"/>
        </w:rPr>
        <w:t>’</w:t>
      </w:r>
      <w:r>
        <w:rPr>
          <w:rtl w:val="0"/>
          <w:lang w:val="en-US"/>
        </w:rPr>
        <w:t>s 1 in 2. For people with disabilities, it</w:t>
      </w:r>
      <w:r>
        <w:rPr>
          <w:rtl w:val="0"/>
        </w:rPr>
        <w:t>’</w:t>
      </w:r>
      <w:r>
        <w:rPr>
          <w:rtl w:val="0"/>
          <w:lang w:val="en-US"/>
        </w:rPr>
        <w:t xml:space="preserve">s also </w:t>
      </w:r>
      <w:r>
        <w:rPr>
          <w:rtl w:val="0"/>
        </w:rPr>
        <w:t>½</w:t>
      </w:r>
      <w:r>
        <w:rPr>
          <w:rtl w:val="0"/>
        </w:rPr>
        <w:t xml:space="preserve">. </w:t>
      </w:r>
    </w:p>
    <w:p>
      <w:pPr>
        <w:pStyle w:val="Body"/>
        <w:jc w:val="both"/>
      </w:pPr>
    </w:p>
    <w:p>
      <w:pPr>
        <w:pStyle w:val="Body"/>
        <w:jc w:val="both"/>
        <w:rPr>
          <w:u w:val="single"/>
        </w:rPr>
      </w:pPr>
      <w:r>
        <w:rPr>
          <w:u w:val="single"/>
          <w:rtl w:val="0"/>
          <w:lang w:val="en-US"/>
        </w:rPr>
        <w:t>Tools &amp; Requirements</w:t>
      </w:r>
    </w:p>
    <w:p>
      <w:pPr>
        <w:pStyle w:val="Body"/>
        <w:jc w:val="both"/>
        <w:rPr>
          <w:u w:val="single"/>
        </w:rPr>
      </w:pPr>
    </w:p>
    <w:p>
      <w:pPr>
        <w:pStyle w:val="Body"/>
        <w:jc w:val="both"/>
      </w:pPr>
      <w:r>
        <w:rPr>
          <w:rtl w:val="0"/>
          <w:lang w:val="en-US"/>
        </w:rPr>
        <w:t xml:space="preserve">Building the independence and security of women is paramount to addressing this issue. The following is a list of available services and work to be done: </w:t>
      </w:r>
    </w:p>
    <w:p>
      <w:pPr>
        <w:pStyle w:val="Body"/>
        <w:jc w:val="both"/>
      </w:pPr>
    </w:p>
    <w:p>
      <w:pPr>
        <w:pStyle w:val="List Paragraph"/>
        <w:numPr>
          <w:ilvl w:val="0"/>
          <w:numId w:val="10"/>
        </w:numPr>
        <w:spacing w:after="120"/>
        <w:jc w:val="both"/>
        <w:rPr>
          <w:lang w:val="en-US"/>
        </w:rPr>
      </w:pPr>
      <w:r>
        <w:rPr>
          <w:rFonts w:ascii="Cambria" w:cs="Cambria" w:hAnsi="Cambria" w:eastAsia="Cambria"/>
          <w:i w:val="1"/>
          <w:iCs w:val="1"/>
          <w:rtl w:val="0"/>
          <w:lang w:val="en-US"/>
        </w:rPr>
        <w:t>Crisis intervention</w:t>
      </w:r>
      <w:r>
        <w:rPr>
          <w:rtl w:val="0"/>
          <w:lang w:val="en-US"/>
        </w:rPr>
        <w:t xml:space="preserve"> – </w:t>
      </w:r>
      <w:r>
        <w:rPr>
          <w:rtl w:val="0"/>
          <w:lang w:val="en-US"/>
        </w:rPr>
        <w:t xml:space="preserve">HAWC (Healing Abuse, Working for Change) </w:t>
      </w:r>
    </w:p>
    <w:p>
      <w:pPr>
        <w:pStyle w:val="List Paragraph"/>
        <w:numPr>
          <w:ilvl w:val="0"/>
          <w:numId w:val="12"/>
        </w:numPr>
        <w:spacing w:after="120"/>
        <w:jc w:val="both"/>
        <w:rPr>
          <w:lang w:val="en-US"/>
        </w:rPr>
      </w:pPr>
      <w:r>
        <w:rPr>
          <w:rtl w:val="0"/>
          <w:lang w:val="en-US"/>
        </w:rPr>
        <w:t>24-hour hotline</w:t>
      </w:r>
    </w:p>
    <w:p>
      <w:pPr>
        <w:pStyle w:val="List Paragraph"/>
        <w:numPr>
          <w:ilvl w:val="0"/>
          <w:numId w:val="12"/>
        </w:numPr>
        <w:spacing w:after="120"/>
        <w:jc w:val="both"/>
        <w:rPr>
          <w:lang w:val="en-US"/>
        </w:rPr>
      </w:pPr>
      <w:r>
        <w:rPr>
          <w:rtl w:val="0"/>
          <w:lang w:val="en-US"/>
        </w:rPr>
        <w:t>Free legal clinics for divorce, custody, employer-related issues</w:t>
      </w:r>
    </w:p>
    <w:p>
      <w:pPr>
        <w:pStyle w:val="List Paragraph"/>
        <w:numPr>
          <w:ilvl w:val="0"/>
          <w:numId w:val="12"/>
        </w:numPr>
        <w:spacing w:after="120"/>
        <w:jc w:val="both"/>
        <w:rPr>
          <w:lang w:val="en-US"/>
        </w:rPr>
      </w:pPr>
      <w:r>
        <w:rPr>
          <w:rtl w:val="0"/>
          <w:lang w:val="en-US"/>
        </w:rPr>
        <w:t>Shelter</w:t>
      </w:r>
    </w:p>
    <w:p>
      <w:pPr>
        <w:pStyle w:val="List Paragraph"/>
        <w:numPr>
          <w:ilvl w:val="0"/>
          <w:numId w:val="13"/>
        </w:numPr>
        <w:spacing w:after="120"/>
        <w:jc w:val="both"/>
        <w:rPr>
          <w:lang w:val="en-US"/>
        </w:rPr>
      </w:pPr>
      <w:r>
        <w:rPr>
          <w:rFonts w:ascii="Cambria" w:cs="Cambria" w:hAnsi="Cambria" w:eastAsia="Cambria"/>
          <w:i w:val="1"/>
          <w:iCs w:val="1"/>
          <w:rtl w:val="0"/>
          <w:lang w:val="en-US"/>
        </w:rPr>
        <w:t>Fixing gender pay gap</w:t>
      </w:r>
    </w:p>
    <w:p>
      <w:pPr>
        <w:pStyle w:val="List Paragraph"/>
        <w:numPr>
          <w:ilvl w:val="0"/>
          <w:numId w:val="10"/>
        </w:numPr>
        <w:spacing w:after="120"/>
        <w:jc w:val="both"/>
        <w:rPr>
          <w:lang w:val="en-US"/>
        </w:rPr>
      </w:pPr>
      <w:r>
        <w:rPr>
          <w:rFonts w:ascii="Cambria" w:cs="Cambria" w:hAnsi="Cambria" w:eastAsia="Cambria"/>
          <w:i w:val="1"/>
          <w:iCs w:val="1"/>
          <w:rtl w:val="0"/>
          <w:lang w:val="en-US"/>
        </w:rPr>
        <w:t>Healthcare</w:t>
      </w:r>
      <w:r>
        <w:rPr>
          <w:rtl w:val="0"/>
          <w:lang w:val="en-US"/>
        </w:rPr>
        <w:t xml:space="preserve"> – </w:t>
      </w:r>
      <w:r>
        <w:rPr>
          <w:rtl w:val="0"/>
          <w:lang w:val="en-US"/>
        </w:rPr>
        <w:t xml:space="preserve">breaking the cycle of dependence by offering affordable and accessible healthcare, including birth control. </w:t>
      </w:r>
    </w:p>
    <w:p>
      <w:pPr>
        <w:pStyle w:val="List Paragraph"/>
        <w:numPr>
          <w:ilvl w:val="0"/>
          <w:numId w:val="10"/>
        </w:numPr>
        <w:spacing w:after="120"/>
        <w:jc w:val="both"/>
        <w:rPr>
          <w:lang w:val="en-US"/>
        </w:rPr>
      </w:pPr>
      <w:r>
        <w:rPr>
          <w:rFonts w:ascii="Cambria" w:cs="Cambria" w:hAnsi="Cambria" w:eastAsia="Cambria"/>
          <w:i w:val="1"/>
          <w:iCs w:val="1"/>
          <w:rtl w:val="0"/>
          <w:lang w:val="en-US"/>
        </w:rPr>
        <w:t>Offering paid maternity leave, childcare and transportation</w:t>
      </w:r>
    </w:p>
    <w:p>
      <w:pPr>
        <w:pStyle w:val="List Paragraph"/>
        <w:numPr>
          <w:ilvl w:val="0"/>
          <w:numId w:val="10"/>
        </w:numPr>
        <w:spacing w:after="120"/>
        <w:jc w:val="both"/>
        <w:rPr>
          <w:lang w:val="en-US"/>
        </w:rPr>
      </w:pPr>
      <w:r>
        <w:rPr>
          <w:rFonts w:ascii="Cambria" w:cs="Cambria" w:hAnsi="Cambria" w:eastAsia="Cambria"/>
          <w:i w:val="1"/>
          <w:iCs w:val="1"/>
          <w:rtl w:val="0"/>
          <w:lang w:val="en-US"/>
        </w:rPr>
        <w:t xml:space="preserve">Food security </w:t>
      </w:r>
    </w:p>
    <w:p>
      <w:pPr>
        <w:pStyle w:val="Body"/>
        <w:spacing w:after="120"/>
        <w:jc w:val="both"/>
      </w:pPr>
    </w:p>
    <w:p>
      <w:pPr>
        <w:pStyle w:val="Body"/>
        <w:spacing w:after="120"/>
        <w:jc w:val="both"/>
        <w:rPr>
          <w:u w:val="single"/>
        </w:rPr>
      </w:pPr>
      <w:r>
        <w:rPr>
          <w:u w:val="single"/>
          <w:rtl w:val="0"/>
          <w:lang w:val="fr-FR"/>
        </w:rPr>
        <w:t>Cultural Evolution</w:t>
      </w:r>
    </w:p>
    <w:p>
      <w:pPr>
        <w:pStyle w:val="Body"/>
        <w:spacing w:after="120"/>
        <w:jc w:val="both"/>
      </w:pPr>
      <w:r>
        <w:rPr>
          <w:rtl w:val="0"/>
          <w:lang w:val="en-US"/>
        </w:rPr>
        <w:t xml:space="preserve">In addition, there needs to be an evolution in culture. Things each of us can do: </w:t>
      </w:r>
    </w:p>
    <w:p>
      <w:pPr>
        <w:pStyle w:val="List Paragraph"/>
        <w:numPr>
          <w:ilvl w:val="0"/>
          <w:numId w:val="15"/>
        </w:numPr>
        <w:spacing w:after="120"/>
        <w:jc w:val="both"/>
        <w:rPr>
          <w:lang w:val="en-US"/>
        </w:rPr>
      </w:pPr>
      <w:r>
        <w:rPr>
          <w:rtl w:val="0"/>
          <w:lang w:val="en-US"/>
        </w:rPr>
        <w:t>Give money and/or volunteer to help women and children</w:t>
      </w:r>
    </w:p>
    <w:p>
      <w:pPr>
        <w:pStyle w:val="List Paragraph"/>
        <w:numPr>
          <w:ilvl w:val="0"/>
          <w:numId w:val="15"/>
        </w:numPr>
        <w:spacing w:after="120"/>
        <w:jc w:val="both"/>
        <w:rPr>
          <w:lang w:val="en-US"/>
        </w:rPr>
      </w:pPr>
      <w:r>
        <w:rPr>
          <w:rtl w:val="0"/>
          <w:lang w:val="en-US"/>
        </w:rPr>
        <w:t>Use our voices.</w:t>
      </w:r>
    </w:p>
    <w:p>
      <w:pPr>
        <w:pStyle w:val="List Paragraph"/>
        <w:numPr>
          <w:ilvl w:val="0"/>
          <w:numId w:val="15"/>
        </w:numPr>
        <w:spacing w:after="120"/>
        <w:jc w:val="both"/>
        <w:rPr>
          <w:lang w:val="en-US"/>
        </w:rPr>
      </w:pPr>
      <w:r>
        <w:rPr>
          <w:rtl w:val="0"/>
          <w:lang w:val="en-US"/>
        </w:rPr>
        <w:t xml:space="preserve">Boycott products, services, teams or individuals who contribute to the bias against women. </w:t>
      </w:r>
    </w:p>
    <w:p>
      <w:pPr>
        <w:pStyle w:val="List Paragraph"/>
        <w:numPr>
          <w:ilvl w:val="0"/>
          <w:numId w:val="15"/>
        </w:numPr>
        <w:spacing w:after="120"/>
        <w:jc w:val="both"/>
        <w:rPr>
          <w:lang w:val="en-US"/>
        </w:rPr>
      </w:pPr>
      <w:r>
        <w:rPr>
          <w:rtl w:val="0"/>
          <w:lang w:val="en-US"/>
        </w:rPr>
        <w:t xml:space="preserve">Change victim blaming. #metoo movement is one way. </w:t>
      </w:r>
    </w:p>
    <w:p>
      <w:pPr>
        <w:pStyle w:val="List Paragraph"/>
        <w:numPr>
          <w:ilvl w:val="0"/>
          <w:numId w:val="15"/>
        </w:numPr>
        <w:spacing w:after="120"/>
        <w:jc w:val="both"/>
        <w:rPr>
          <w:lang w:val="en-US"/>
        </w:rPr>
      </w:pPr>
      <w:r>
        <w:rPr>
          <w:rtl w:val="0"/>
          <w:lang w:val="en-US"/>
        </w:rPr>
        <w:t xml:space="preserve">Role model for younger generation. </w:t>
      </w:r>
    </w:p>
    <w:p>
      <w:pPr>
        <w:pStyle w:val="List Paragraph"/>
        <w:numPr>
          <w:ilvl w:val="0"/>
          <w:numId w:val="15"/>
        </w:numPr>
        <w:spacing w:after="120"/>
        <w:jc w:val="both"/>
        <w:rPr>
          <w:lang w:val="en-US"/>
        </w:rPr>
      </w:pPr>
      <w:r>
        <w:rPr>
          <w:rtl w:val="0"/>
          <w:lang w:val="en-US"/>
        </w:rPr>
        <w:t xml:space="preserve">Have sexual consent talks with minors and peers as 1 in 4 girls and 1 in 6 boys are sexually molested in MA. </w:t>
      </w:r>
    </w:p>
    <w:p>
      <w:pPr>
        <w:pStyle w:val="List Paragraph"/>
        <w:numPr>
          <w:ilvl w:val="0"/>
          <w:numId w:val="15"/>
        </w:numPr>
        <w:spacing w:after="120"/>
        <w:jc w:val="both"/>
        <w:rPr>
          <w:lang w:val="en-US"/>
        </w:rPr>
      </w:pPr>
      <w:r>
        <w:rPr>
          <w:rtl w:val="0"/>
          <w:lang w:val="en-US"/>
        </w:rPr>
        <w:t xml:space="preserve">Talk about sex. Yes, needs to be enthusiastic and clear of any mind-altering forms. </w:t>
      </w:r>
    </w:p>
    <w:p>
      <w:pPr>
        <w:pStyle w:val="Body"/>
        <w:spacing w:after="120"/>
        <w:jc w:val="both"/>
      </w:pPr>
    </w:p>
    <w:p>
      <w:pPr>
        <w:pStyle w:val="Body"/>
        <w:spacing w:after="120"/>
        <w:jc w:val="both"/>
        <w:rPr>
          <w:rFonts w:ascii="Cambria" w:cs="Cambria" w:hAnsi="Cambria" w:eastAsia="Cambria"/>
          <w:b w:val="1"/>
          <w:bCs w:val="1"/>
        </w:rPr>
      </w:pPr>
      <w:r>
        <w:rPr>
          <w:rFonts w:ascii="Cambria" w:cs="Cambria" w:hAnsi="Cambria" w:eastAsia="Cambria"/>
          <w:b w:val="1"/>
          <w:bCs w:val="1"/>
          <w:rtl w:val="0"/>
          <w:lang w:val="en-US"/>
        </w:rPr>
        <w:t>Healthcare</w:t>
      </w:r>
    </w:p>
    <w:p>
      <w:pPr>
        <w:pStyle w:val="Body"/>
        <w:spacing w:after="120"/>
        <w:jc w:val="both"/>
      </w:pPr>
    </w:p>
    <w:p>
      <w:pPr>
        <w:pStyle w:val="Body"/>
        <w:spacing w:after="120"/>
        <w:jc w:val="both"/>
      </w:pPr>
      <w:r>
        <w:rPr>
          <w:rtl w:val="0"/>
          <w:lang w:val="en-US"/>
        </w:rPr>
        <w:t>Healthquarters, founded in the 1970</w:t>
      </w:r>
      <w:r>
        <w:rPr>
          <w:rtl w:val="0"/>
        </w:rPr>
        <w:t>’</w:t>
      </w:r>
      <w:r>
        <w:rPr>
          <w:rtl w:val="0"/>
          <w:lang w:val="en-US"/>
        </w:rPr>
        <w:t>s, is located in Beverly, MA and specializes in women</w:t>
      </w:r>
      <w:r>
        <w:rPr>
          <w:rtl w:val="0"/>
        </w:rPr>
        <w:t>’</w:t>
      </w:r>
      <w:r>
        <w:rPr>
          <w:rtl w:val="0"/>
          <w:lang w:val="en-US"/>
        </w:rPr>
        <w:t xml:space="preserve">s reproductive health. </w:t>
      </w:r>
    </w:p>
    <w:p>
      <w:pPr>
        <w:pStyle w:val="Body"/>
        <w:spacing w:after="120"/>
        <w:jc w:val="both"/>
      </w:pPr>
      <w:r>
        <w:rPr>
          <w:rtl w:val="0"/>
          <w:lang w:val="en-US"/>
        </w:rPr>
        <w:t>Reproductive health should be termed reproductive justice as it</w:t>
      </w:r>
      <w:r>
        <w:rPr>
          <w:rtl w:val="0"/>
        </w:rPr>
        <w:t>’</w:t>
      </w:r>
      <w:r>
        <w:rPr>
          <w:rtl w:val="0"/>
          <w:lang w:val="en-US"/>
        </w:rPr>
        <w:t xml:space="preserve">s a human rights issue. It involves body autonomy in safe, sustainable communities. It includes sex education, prenatal care, pregnancy health, domestic violence assistance and family support as well as basic female healthcare. </w:t>
      </w:r>
    </w:p>
    <w:p>
      <w:pPr>
        <w:pStyle w:val="Body"/>
        <w:spacing w:after="120"/>
        <w:jc w:val="both"/>
      </w:pPr>
      <w:r>
        <w:rPr>
          <w:rtl w:val="0"/>
          <w:lang w:val="en-US"/>
        </w:rPr>
        <w:t>Massachusetts has the 2</w:t>
      </w:r>
      <w:r>
        <w:rPr>
          <w:vertAlign w:val="superscript"/>
          <w:rtl w:val="0"/>
        </w:rPr>
        <w:t>nd</w:t>
      </w:r>
      <w:r>
        <w:rPr>
          <w:rtl w:val="0"/>
          <w:lang w:val="en-US"/>
        </w:rPr>
        <w:t xml:space="preserve"> lowest uninsured rates in the nation, but transportation, accessibility and safety are still concerns for access to healthcare.  </w:t>
      </w:r>
    </w:p>
    <w:p>
      <w:pPr>
        <w:pStyle w:val="Body"/>
        <w:spacing w:after="120"/>
        <w:ind w:left="360" w:firstLine="0"/>
        <w:jc w:val="both"/>
      </w:pPr>
    </w:p>
    <w:p>
      <w:pPr>
        <w:pStyle w:val="Body"/>
        <w:spacing w:after="120"/>
        <w:jc w:val="both"/>
      </w:pPr>
    </w:p>
    <w:p>
      <w:pPr>
        <w:pStyle w:val="Body"/>
        <w:jc w:val="both"/>
      </w:pPr>
      <w:r>
        <w:rPr>
          <w:rtl w:val="0"/>
          <w:lang w:val="en-US"/>
        </w:rPr>
        <w:t xml:space="preserve">Insurance is typically provided through an employer and that gives the employer power over using the healthcare plan for reproductive issues. </w:t>
      </w:r>
    </w:p>
    <w:p>
      <w:pPr>
        <w:pStyle w:val="Body"/>
        <w:jc w:val="both"/>
      </w:pPr>
    </w:p>
    <w:p>
      <w:pPr>
        <w:pStyle w:val="Body"/>
        <w:jc w:val="both"/>
        <w:rPr>
          <w:rFonts w:ascii="Cambria" w:cs="Cambria" w:hAnsi="Cambria" w:eastAsia="Cambria"/>
          <w:i w:val="1"/>
          <w:iCs w:val="1"/>
        </w:rPr>
      </w:pPr>
      <w:r>
        <w:rPr>
          <w:rFonts w:ascii="Cambria" w:cs="Cambria" w:hAnsi="Cambria" w:eastAsia="Cambria"/>
          <w:i w:val="1"/>
          <w:iCs w:val="1"/>
          <w:rtl w:val="0"/>
          <w:lang w:val="en-US"/>
        </w:rPr>
        <w:t>Local:</w:t>
      </w:r>
    </w:p>
    <w:p>
      <w:pPr>
        <w:pStyle w:val="Body"/>
        <w:jc w:val="both"/>
      </w:pPr>
      <w:r>
        <w:rPr>
          <w:rtl w:val="0"/>
          <w:lang w:val="en-US"/>
        </w:rPr>
        <w:t xml:space="preserve">Health Quarters provides excellent, affordable healthcare on a sliding scale. </w:t>
      </w:r>
    </w:p>
    <w:p>
      <w:pPr>
        <w:pStyle w:val="Body"/>
        <w:jc w:val="both"/>
      </w:pPr>
    </w:p>
    <w:p>
      <w:pPr>
        <w:pStyle w:val="Body"/>
        <w:jc w:val="both"/>
        <w:rPr>
          <w:rFonts w:ascii="Cambria" w:cs="Cambria" w:hAnsi="Cambria" w:eastAsia="Cambria"/>
          <w:i w:val="1"/>
          <w:iCs w:val="1"/>
        </w:rPr>
      </w:pPr>
      <w:r>
        <w:rPr>
          <w:rFonts w:ascii="Cambria" w:cs="Cambria" w:hAnsi="Cambria" w:eastAsia="Cambria"/>
          <w:i w:val="1"/>
          <w:iCs w:val="1"/>
          <w:rtl w:val="0"/>
          <w:lang w:val="nl-NL"/>
        </w:rPr>
        <w:t xml:space="preserve">State: </w:t>
      </w:r>
    </w:p>
    <w:p>
      <w:pPr>
        <w:pStyle w:val="Body"/>
        <w:jc w:val="both"/>
      </w:pPr>
      <w:r>
        <w:rPr>
          <w:rtl w:val="0"/>
          <w:lang w:val="en-US"/>
        </w:rPr>
        <w:t xml:space="preserve">In April 2018, Massachusetts signed the Patch Act </w:t>
      </w:r>
      <w:r>
        <w:rPr>
          <w:rFonts w:ascii="Cambria" w:cs="Cambria" w:hAnsi="Cambria" w:eastAsia="Cambria"/>
          <w:i w:val="1"/>
          <w:iCs w:val="1"/>
          <w:rtl w:val="0"/>
          <w:lang w:val="en-US"/>
        </w:rPr>
        <w:t xml:space="preserve">(Protecting Access to Confidential Healthcare) </w:t>
      </w:r>
      <w:r>
        <w:rPr>
          <w:rtl w:val="0"/>
          <w:lang w:val="en-US"/>
        </w:rPr>
        <w:t>into law. It allows insurers to suppress distribution of patient</w:t>
      </w:r>
      <w:r>
        <w:rPr>
          <w:rtl w:val="0"/>
        </w:rPr>
        <w:t>’</w:t>
      </w:r>
      <w:r>
        <w:rPr>
          <w:rtl w:val="0"/>
          <w:lang w:val="en-US"/>
        </w:rPr>
        <w:t>s information to the holder of the insurance. It protects the patient</w:t>
      </w:r>
      <w:r>
        <w:rPr>
          <w:rtl w:val="0"/>
        </w:rPr>
        <w:t>’</w:t>
      </w:r>
      <w:r>
        <w:rPr>
          <w:rtl w:val="0"/>
          <w:lang w:val="en-US"/>
        </w:rPr>
        <w:t xml:space="preserve">s privacy. </w:t>
      </w:r>
    </w:p>
    <w:p>
      <w:pPr>
        <w:pStyle w:val="Body"/>
        <w:jc w:val="both"/>
      </w:pPr>
    </w:p>
    <w:p>
      <w:pPr>
        <w:pStyle w:val="Body"/>
        <w:jc w:val="both"/>
        <w:rPr>
          <w:rFonts w:ascii="Cambria" w:cs="Cambria" w:hAnsi="Cambria" w:eastAsia="Cambria"/>
          <w:i w:val="1"/>
          <w:iCs w:val="1"/>
        </w:rPr>
      </w:pPr>
      <w:r>
        <w:rPr>
          <w:rFonts w:ascii="Cambria" w:cs="Cambria" w:hAnsi="Cambria" w:eastAsia="Cambria"/>
          <w:i w:val="1"/>
          <w:iCs w:val="1"/>
          <w:rtl w:val="0"/>
        </w:rPr>
        <w:t xml:space="preserve">National: </w:t>
      </w:r>
    </w:p>
    <w:p>
      <w:pPr>
        <w:pStyle w:val="Body"/>
        <w:jc w:val="both"/>
      </w:pPr>
      <w:r>
        <w:rPr>
          <w:rtl w:val="0"/>
          <w:lang w:val="en-US"/>
        </w:rPr>
        <w:t xml:space="preserve">Title X is a federal program granting fair, sound family planning and preventative services at up-to-date facilities without coercion. It does not include abortion services. </w:t>
      </w:r>
    </w:p>
    <w:p>
      <w:pPr>
        <w:pStyle w:val="Body"/>
        <w:jc w:val="both"/>
      </w:pPr>
    </w:p>
    <w:p>
      <w:pPr>
        <w:pStyle w:val="Body"/>
        <w:jc w:val="both"/>
      </w:pPr>
      <w:r>
        <w:rPr>
          <w:u w:val="single"/>
          <w:rtl w:val="0"/>
          <w:lang w:val="en-US"/>
        </w:rPr>
        <w:t>Global gag rule turns domestic</w:t>
      </w:r>
      <w:r>
        <w:rPr>
          <w:rtl w:val="0"/>
        </w:rPr>
        <w:t xml:space="preserve"> - </w:t>
      </w:r>
    </w:p>
    <w:p>
      <w:pPr>
        <w:pStyle w:val="Body"/>
        <w:jc w:val="both"/>
      </w:pPr>
      <w:r>
        <w:rPr>
          <w:rtl w:val="0"/>
          <w:lang w:val="en-US"/>
        </w:rPr>
        <w:t xml:space="preserve">Trump changed the rule allowing family planning providers to discuss abortion as an option with women who are contemplating their choices. Funding will be cut for those who still have the conversation. </w:t>
      </w:r>
    </w:p>
    <w:p>
      <w:pPr>
        <w:pStyle w:val="Body"/>
        <w:jc w:val="both"/>
      </w:pPr>
    </w:p>
    <w:p>
      <w:pPr>
        <w:pStyle w:val="Body"/>
        <w:jc w:val="both"/>
        <w:rPr>
          <w:rFonts w:ascii="Cambria" w:cs="Cambria" w:hAnsi="Cambria" w:eastAsia="Cambria"/>
          <w:i w:val="1"/>
          <w:iCs w:val="1"/>
        </w:rPr>
      </w:pPr>
      <w:r>
        <w:rPr>
          <w:rtl w:val="0"/>
        </w:rPr>
        <w:t>“</w:t>
      </w:r>
      <w:r>
        <w:rPr>
          <w:rtl w:val="0"/>
          <w:lang w:val="en-US"/>
        </w:rPr>
        <w:t>Late last month, the Trump administration</w:t>
      </w:r>
      <w:r>
        <w:rPr>
          <w:rtl w:val="0"/>
        </w:rPr>
        <w:t> </w:t>
      </w:r>
      <w:r>
        <w:rPr>
          <w:rStyle w:val="Hyperlink.0"/>
        </w:rPr>
        <w:fldChar w:fldCharType="begin" w:fldLock="0"/>
      </w:r>
      <w:r>
        <w:rPr>
          <w:rStyle w:val="Hyperlink.0"/>
        </w:rPr>
        <w:instrText xml:space="preserve"> HYPERLINK "https://www.federalregister.gov/documents/2018/06/01/2018-11673/compliance-with-statutory-program-integrity-requirements"</w:instrText>
      </w:r>
      <w:r>
        <w:rPr>
          <w:rStyle w:val="Hyperlink.0"/>
        </w:rPr>
        <w:fldChar w:fldCharType="separate" w:fldLock="0"/>
      </w:r>
      <w:r>
        <w:rPr>
          <w:rStyle w:val="Hyperlink.0"/>
          <w:rtl w:val="0"/>
          <w:lang w:val="en-US"/>
        </w:rPr>
        <w:t>proposed</w:t>
      </w:r>
      <w:r>
        <w:rPr>
          <w:rStyle w:val="Hyperlink.0"/>
          <w:rtl w:val="0"/>
        </w:rPr>
        <w:t> </w:t>
      </w:r>
      <w:r>
        <w:rPr/>
        <w:fldChar w:fldCharType="end" w:fldLock="0"/>
      </w:r>
      <w:r>
        <w:rPr>
          <w:rtl w:val="0"/>
          <w:lang w:val="en-US"/>
        </w:rPr>
        <w:t>a new rule that could prohibit doctors who receive a type of federal funding called Title X from explicitly referring their patients to abortion providers. Under the new rule, only a pregnant woman who has already decided she wants an abortion</w:t>
      </w:r>
      <w:r>
        <w:rPr>
          <w:rtl w:val="0"/>
          <w:lang w:val="en-US"/>
        </w:rPr>
        <w:t>—</w:t>
      </w:r>
      <w:r>
        <w:rPr>
          <w:rtl w:val="0"/>
          <w:lang w:val="en-US"/>
        </w:rPr>
        <w:t>rather than one who is simply weighing her options</w:t>
      </w:r>
      <w:r>
        <w:rPr>
          <w:rtl w:val="0"/>
          <w:lang w:val="en-US"/>
        </w:rPr>
        <w:t>—</w:t>
      </w:r>
      <w:r>
        <w:rPr>
          <w:rtl w:val="0"/>
          <w:lang w:val="en-US"/>
        </w:rPr>
        <w:t>could be given a list of medical providers, and</w:t>
      </w:r>
      <w:r>
        <w:rPr>
          <w:rtl w:val="0"/>
        </w:rPr>
        <w:t> </w:t>
      </w:r>
      <w:r>
        <w:rPr>
          <w:rStyle w:val="Hyperlink.0"/>
        </w:rPr>
        <w:fldChar w:fldCharType="begin" w:fldLock="0"/>
      </w:r>
      <w:r>
        <w:rPr>
          <w:rStyle w:val="Hyperlink.0"/>
        </w:rPr>
        <w:instrText xml:space="preserve"> HYPERLINK "https://www.nytimes.com/2018/05/22/us/politics/trump-abortion-limits.html"</w:instrText>
      </w:r>
      <w:r>
        <w:rPr>
          <w:rStyle w:val="Hyperlink.0"/>
        </w:rPr>
        <w:fldChar w:fldCharType="separate" w:fldLock="0"/>
      </w:r>
      <w:r>
        <w:rPr>
          <w:rStyle w:val="Hyperlink.0"/>
          <w:rtl w:val="0"/>
          <w:lang w:val="en-US"/>
        </w:rPr>
        <w:t>not all of</w:t>
      </w:r>
      <w:r>
        <w:rPr/>
        <w:fldChar w:fldCharType="end" w:fldLock="0"/>
      </w:r>
      <w:r>
        <w:rPr>
          <w:rtl w:val="0"/>
        </w:rPr>
        <w:t> </w:t>
      </w:r>
      <w:r>
        <w:rPr>
          <w:rtl w:val="0"/>
          <w:lang w:val="en-US"/>
        </w:rPr>
        <w:t>the providers can be abortion providers. The rule might still be changed before it goes into effect.</w:t>
      </w:r>
      <w:r>
        <w:rPr>
          <w:rtl w:val="0"/>
        </w:rPr>
        <w:t xml:space="preserve">” – </w:t>
      </w:r>
      <w:r>
        <w:rPr>
          <w:rFonts w:ascii="Cambria" w:cs="Cambria" w:hAnsi="Cambria" w:eastAsia="Cambria"/>
          <w:i w:val="1"/>
          <w:iCs w:val="1"/>
          <w:rtl w:val="0"/>
          <w:lang w:val="en-US"/>
        </w:rPr>
        <w:t>The Atlantic June 4, 2018</w:t>
      </w:r>
    </w:p>
    <w:p>
      <w:pPr>
        <w:pStyle w:val="Body"/>
        <w:jc w:val="both"/>
        <w:rPr>
          <w:i w:val="1"/>
          <w:iCs w:val="1"/>
        </w:rPr>
      </w:pPr>
    </w:p>
    <w:p>
      <w:pPr>
        <w:pStyle w:val="Body"/>
        <w:jc w:val="both"/>
      </w:pPr>
      <w:r>
        <w:rPr>
          <w:rtl w:val="0"/>
          <w:lang w:val="en-US"/>
        </w:rPr>
        <w:t xml:space="preserve">Every $1 spent on family planning saves $7.06. </w:t>
      </w:r>
    </w:p>
    <w:p>
      <w:pPr>
        <w:pStyle w:val="Body"/>
        <w:jc w:val="both"/>
      </w:pPr>
    </w:p>
    <w:p>
      <w:pPr>
        <w:pStyle w:val="Body"/>
        <w:jc w:val="both"/>
      </w:pPr>
      <w:r>
        <w:rPr>
          <w:rtl w:val="0"/>
          <w:lang w:val="en-US"/>
        </w:rPr>
        <w:t>As Hilary Clinton states at the 1995 UN Women</w:t>
      </w:r>
      <w:r>
        <w:rPr>
          <w:rtl w:val="0"/>
        </w:rPr>
        <w:t>’</w:t>
      </w:r>
      <w:r>
        <w:rPr>
          <w:rtl w:val="0"/>
          <w:lang w:val="fr-FR"/>
        </w:rPr>
        <w:t xml:space="preserve">s Conference, </w:t>
      </w:r>
      <w:r>
        <w:rPr>
          <w:rtl w:val="0"/>
        </w:rPr>
        <w:t>“</w:t>
      </w:r>
      <w:r>
        <w:rPr>
          <w:rtl w:val="0"/>
          <w:lang w:val="en-US"/>
        </w:rPr>
        <w:t>Women</w:t>
      </w:r>
      <w:r>
        <w:rPr>
          <w:rtl w:val="0"/>
        </w:rPr>
        <w:t>’</w:t>
      </w:r>
      <w:r>
        <w:rPr>
          <w:rtl w:val="0"/>
          <w:lang w:val="en-US"/>
        </w:rPr>
        <w:t>s rights are human rights and human rights are women</w:t>
      </w:r>
      <w:r>
        <w:rPr>
          <w:rtl w:val="0"/>
        </w:rPr>
        <w:t>’</w:t>
      </w:r>
      <w:r>
        <w:rPr>
          <w:rtl w:val="0"/>
          <w:lang w:val="en-US"/>
        </w:rPr>
        <w:t>s rights.</w:t>
      </w:r>
      <w:r>
        <w:rPr>
          <w:rtl w:val="0"/>
        </w:rPr>
        <w:t xml:space="preserve">” </w:t>
      </w:r>
    </w:p>
    <w:p>
      <w:pPr>
        <w:pStyle w:val="Body"/>
        <w:jc w:val="both"/>
      </w:pPr>
    </w:p>
    <w:p>
      <w:pPr>
        <w:pStyle w:val="Body"/>
      </w:pPr>
    </w:p>
    <w:p>
      <w:pPr>
        <w:pStyle w:val="Body"/>
      </w:pPr>
    </w:p>
    <w:p>
      <w:pPr>
        <w:pStyle w:val="Body"/>
      </w:p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Baskervill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tl w:val="0"/>
        <w:lang w:val="en-US"/>
      </w:rPr>
      <w:t>We are America the Beautiful</w:t>
    </w:r>
  </w:p>
  <w:p>
    <w:pPr>
      <w:pStyle w:val="header"/>
      <w:tabs>
        <w:tab w:val="right" w:pos="9340"/>
        <w:tab w:val="clear" w:pos="9360"/>
      </w:tabs>
    </w:pPr>
    <w:r>
      <w:rPr>
        <w:rtl w:val="0"/>
        <w:lang w:val="en-US"/>
      </w:rPr>
      <w:t>Women</w:t>
    </w:r>
    <w:r>
      <w:rPr>
        <w:rtl w:val="0"/>
        <w:lang w:val="en-US"/>
      </w:rPr>
      <w:t>’</w:t>
    </w:r>
    <w:r>
      <w:rPr>
        <w:rtl w:val="0"/>
        <w:lang w:val="en-US"/>
      </w:rPr>
      <w:t>s Rights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left"/>
      <w:rPr>
        <w:rtl w:val="0"/>
      </w:rPr>
    </w:pPr>
    <w:r>
      <w:rPr/>
      <w:drawing>
        <wp:inline distT="0" distB="0" distL="0" distR="0">
          <wp:extent cx="2183787" cy="911079"/>
          <wp:effectExtent l="0" t="0" r="0" b="0"/>
          <wp:docPr id="1073741825" name="officeArt object" descr="/Users/kimwoods/KEW/World events/We are America the Beautiful/Strategy/Art Work/17855327_281475358961215_4828270466512415347_o.jpg"/>
          <wp:cNvGraphicFramePr/>
          <a:graphic xmlns:a="http://schemas.openxmlformats.org/drawingml/2006/main">
            <a:graphicData uri="http://schemas.openxmlformats.org/drawingml/2006/picture">
              <pic:pic xmlns:pic="http://schemas.openxmlformats.org/drawingml/2006/picture">
                <pic:nvPicPr>
                  <pic:cNvPr id="1073741825" name="/Users/kimwoods/KEW/World events/We are America the Beautiful/Strategy/Art Work/17855327_281475358961215_4828270466512415347_o.jpg" descr="/Users/kimwoods/KEW/World events/We are America the Beautiful/Strategy/Art Work/17855327_281475358961215_4828270466512415347_o.jpg"/>
                  <pic:cNvPicPr>
                    <a:picLocks noChangeAspect="1"/>
                  </pic:cNvPicPr>
                </pic:nvPicPr>
                <pic:blipFill>
                  <a:blip r:embed="rId1">
                    <a:extLst/>
                  </a:blip>
                  <a:stretch>
                    <a:fillRect/>
                  </a:stretch>
                </pic:blipFill>
                <pic:spPr>
                  <a:xfrm>
                    <a:off x="0" y="0"/>
                    <a:ext cx="2183787" cy="911079"/>
                  </a:xfrm>
                  <a:prstGeom prst="rect">
                    <a:avLst/>
                  </a:prstGeom>
                  <a:ln w="12700" cap="flat">
                    <a:noFill/>
                    <a:miter lim="400000"/>
                  </a:ln>
                  <a:effectLst/>
                </pic:spPr>
              </pic:pic>
            </a:graphicData>
          </a:graphic>
        </wp:inline>
      </w:drawing>
    </w:r>
    <w:r>
      <w:rPr/>
      <w:tab/>
    </w:r>
  </w:p>
  <w:p>
    <w:pPr>
      <w:pStyle w:val="header"/>
      <w:bidi w:val="0"/>
      <w:ind w:left="0" w:right="0" w:firstLine="0"/>
      <w:jc w:val="left"/>
      <w:rPr>
        <w:rFonts w:ascii="Baskerville" w:cs="Baskerville" w:hAnsi="Baskerville" w:eastAsia="Baskerville"/>
        <w:b w:val="1"/>
        <w:bCs w:val="1"/>
        <w:sz w:val="56"/>
        <w:szCs w:val="56"/>
        <w:rtl w:val="0"/>
        <w:lang w:val="en-US"/>
      </w:rPr>
    </w:pPr>
    <w:r>
      <w:rPr>
        <w:rFonts w:ascii="Baskerville" w:hAnsi="Baskerville"/>
        <w:b w:val="1"/>
        <w:bCs w:val="1"/>
        <w:color w:val="767171"/>
        <w:sz w:val="56"/>
        <w:szCs w:val="56"/>
        <w:u w:color="767171"/>
        <w:rtl w:val="0"/>
        <w:lang w:val="en-US"/>
      </w:rPr>
      <w:t>Women</w:t>
    </w:r>
    <w:r>
      <w:rPr>
        <w:rFonts w:ascii="Baskerville" w:hAnsi="Baskerville" w:hint="default"/>
        <w:b w:val="1"/>
        <w:bCs w:val="1"/>
        <w:color w:val="767171"/>
        <w:sz w:val="56"/>
        <w:szCs w:val="56"/>
        <w:u w:color="767171"/>
        <w:rtl w:val="0"/>
        <w:lang w:val="en-US"/>
      </w:rPr>
      <w:t>’</w:t>
    </w:r>
    <w:r>
      <w:rPr>
        <w:rFonts w:ascii="Baskerville" w:hAnsi="Baskerville"/>
        <w:b w:val="1"/>
        <w:bCs w:val="1"/>
        <w:color w:val="767171"/>
        <w:sz w:val="56"/>
        <w:szCs w:val="56"/>
        <w:u w:color="767171"/>
        <w:rtl w:val="0"/>
        <w:lang w:val="en-US"/>
      </w:rPr>
      <w:t>s Rights</w:t>
    </w:r>
    <w:r>
      <w:rPr>
        <w:rFonts w:ascii="Baskerville" w:hAnsi="Baskerville"/>
        <w:b w:val="1"/>
        <w:bCs w:val="1"/>
        <w:sz w:val="56"/>
        <w:szCs w:val="56"/>
        <w:rtl w:val="0"/>
        <w:lang w:val="en-US"/>
      </w:rPr>
      <w:t xml:space="preserve"> </w:t>
    </w:r>
  </w:p>
  <w:p>
    <w:pPr>
      <w:pStyle w:val="header"/>
      <w:tabs>
        <w:tab w:val="right" w:pos="9340"/>
        <w:tab w:val="clear" w:pos="9360"/>
      </w:tabs>
    </w:pPr>
  </w:p>
  <w:p>
    <w:pPr>
      <w:pStyle w:val="header"/>
      <w:tabs>
        <w:tab w:val="right" w:pos="9340"/>
        <w:tab w:val="clear" w:pos="9360"/>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8"/>
    <w:lvlOverride w:ilvl="0">
      <w:startOverride w:val="2"/>
    </w:lvlOverride>
  </w:num>
  <w:num w:numId="14">
    <w:abstractNumId w:val="13"/>
  </w:num>
  <w:num w:numId="15">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color w:val="0563c1"/>
      <w:u w:val="single" w:color="0563c1"/>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